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B5" w:rsidRPr="00545FB5" w:rsidRDefault="00040454" w:rsidP="00545FB5">
      <w:pPr>
        <w:shd w:val="clear" w:color="auto" w:fill="FFFFFF"/>
        <w:spacing w:after="0" w:line="240" w:lineRule="atLeast"/>
        <w:textAlignment w:val="baseline"/>
        <w:outlineLvl w:val="0"/>
        <w:rPr>
          <w:rFonts w:ascii="inherit" w:eastAsia="Times New Roman" w:hAnsi="inherit" w:cs="Helvetica"/>
          <w:caps/>
          <w:color w:val="333333"/>
          <w:kern w:val="36"/>
          <w:sz w:val="36"/>
          <w:szCs w:val="36"/>
        </w:rPr>
      </w:pPr>
      <w:bookmarkStart w:id="0" w:name="_GoBack"/>
      <w:bookmarkEnd w:id="0"/>
      <w:r w:rsidRPr="00545FB5">
        <w:rPr>
          <w:rFonts w:ascii="inherit" w:eastAsia="Times New Roman" w:hAnsi="inherit" w:cs="Helvetica"/>
          <w:caps/>
          <w:color w:val="333333"/>
          <w:kern w:val="36"/>
          <w:sz w:val="36"/>
          <w:szCs w:val="36"/>
        </w:rPr>
        <w:t>THE GOVERNMENT'S PRIORITY</w:t>
      </w:r>
      <w:r>
        <w:rPr>
          <w:rFonts w:ascii="inherit" w:eastAsia="Times New Roman" w:hAnsi="inherit" w:cs="Helvetica"/>
          <w:caps/>
          <w:color w:val="333333"/>
          <w:kern w:val="36"/>
          <w:sz w:val="36"/>
          <w:szCs w:val="36"/>
        </w:rPr>
        <w:t>:</w:t>
      </w:r>
      <w:r w:rsidRPr="00545FB5">
        <w:rPr>
          <w:rFonts w:ascii="inherit" w:eastAsia="Times New Roman" w:hAnsi="inherit" w:cs="Helvetica"/>
          <w:caps/>
          <w:color w:val="333333"/>
          <w:kern w:val="36"/>
          <w:sz w:val="36"/>
          <w:szCs w:val="36"/>
        </w:rPr>
        <w:t xml:space="preserve"> </w:t>
      </w:r>
      <w:r w:rsidR="00545FB5" w:rsidRPr="00545FB5">
        <w:rPr>
          <w:rFonts w:ascii="inherit" w:eastAsia="Times New Roman" w:hAnsi="inherit" w:cs="Helvetica"/>
          <w:caps/>
          <w:color w:val="333333"/>
          <w:kern w:val="36"/>
          <w:sz w:val="36"/>
          <w:szCs w:val="36"/>
        </w:rPr>
        <w:t xml:space="preserve">FIGHT AGAINST GRAY ECONOMY, </w:t>
      </w:r>
    </w:p>
    <w:p w:rsidR="00545FB5" w:rsidRPr="00545FB5" w:rsidRDefault="00545FB5" w:rsidP="00545FB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  <w:r w:rsidRPr="00545FB5">
        <w:rPr>
          <w:rFonts w:ascii="inherit" w:eastAsia="Times New Roman" w:hAnsi="inherit" w:cs="Helvetica"/>
          <w:color w:val="505050"/>
          <w:sz w:val="21"/>
          <w:szCs w:val="21"/>
          <w:bdr w:val="none" w:sz="0" w:space="0" w:color="auto" w:frame="1"/>
        </w:rPr>
        <w:t>27/07/2014 - 15:16</w:t>
      </w:r>
    </w:p>
    <w:p w:rsidR="00545FB5" w:rsidRDefault="00545FB5" w:rsidP="00545FB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  <w:r w:rsidRPr="00545FB5">
        <w:rPr>
          <w:rFonts w:ascii="inherit" w:eastAsia="Times New Roman" w:hAnsi="inherit" w:cs="Helvetica"/>
          <w:noProof/>
          <w:color w:val="505050"/>
          <w:sz w:val="21"/>
          <w:szCs w:val="21"/>
        </w:rPr>
        <w:drawing>
          <wp:inline distT="0" distB="0" distL="0" distR="0" wp14:anchorId="2D8DA21C" wp14:editId="2D90CC29">
            <wp:extent cx="3048000" cy="1714500"/>
            <wp:effectExtent l="0" t="0" r="0" b="0"/>
            <wp:docPr id="1" name="Picture 1" descr="http://www.mgsi.gov.rs/sites/default/files/styles/aktuelnosti-featured-large-thumbnail/public/vlada_1.jpg?itok=rU_Mm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gsi.gov.rs/sites/default/files/styles/aktuelnosti-featured-large-thumbnail/public/vlada_1.jpg?itok=rU_MmOp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B5" w:rsidRDefault="00545FB5" w:rsidP="00545FB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</w:p>
    <w:p w:rsidR="00545FB5" w:rsidRPr="00545FB5" w:rsidRDefault="00545FB5" w:rsidP="00545FB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</w:p>
    <w:p w:rsidR="006E0E2A" w:rsidRDefault="006E0E2A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>F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ight against gray economy is one of the Government</w:t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>’s</w:t>
      </w:r>
      <w:r w:rsidR="00040454" w:rsidRPr="00040454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="00040454" w:rsidRPr="00545FB5">
        <w:rPr>
          <w:rFonts w:ascii="inherit" w:eastAsia="Times New Roman" w:hAnsi="inherit" w:cs="Helvetica"/>
          <w:color w:val="505050"/>
          <w:sz w:val="28"/>
          <w:szCs w:val="28"/>
        </w:rPr>
        <w:t>priorities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, </w:t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>for which reason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the latest data on the growth of tax revenues</w:t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 xml:space="preserve"> come as great news since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>they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show that in Serbia illegal market of petroleum products</w:t>
      </w:r>
      <w:r w:rsidR="00040454">
        <w:rPr>
          <w:rFonts w:ascii="inherit" w:eastAsia="Times New Roman" w:hAnsi="inherit" w:cs="Helvetica"/>
          <w:color w:val="505050"/>
          <w:sz w:val="28"/>
          <w:szCs w:val="28"/>
        </w:rPr>
        <w:t xml:space="preserve"> is being successfully </w:t>
      </w:r>
      <w:r>
        <w:rPr>
          <w:rFonts w:ascii="inherit" w:eastAsia="Times New Roman" w:hAnsi="inherit" w:cs="Helvetica"/>
          <w:color w:val="505050"/>
          <w:sz w:val="28"/>
          <w:szCs w:val="28"/>
        </w:rPr>
        <w:t>combated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.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</w:p>
    <w:p w:rsidR="006E0E2A" w:rsidRDefault="006E0E2A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  <w:t>T</w:t>
      </w:r>
      <w:r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he highest tax revenues since the beginning of the year </w:t>
      </w:r>
      <w:r>
        <w:rPr>
          <w:rFonts w:ascii="inherit" w:eastAsia="Times New Roman" w:hAnsi="inherit" w:cs="Helvetica"/>
          <w:color w:val="505050"/>
          <w:sz w:val="28"/>
          <w:szCs w:val="28"/>
        </w:rPr>
        <w:t>were  achieved i</w:t>
      </w:r>
      <w:r w:rsidR="0013539B" w:rsidRPr="00545FB5">
        <w:rPr>
          <w:rFonts w:ascii="inherit" w:eastAsia="Times New Roman" w:hAnsi="inherit" w:cs="Helvetica"/>
          <w:color w:val="505050"/>
          <w:sz w:val="28"/>
          <w:szCs w:val="28"/>
        </w:rPr>
        <w:t>n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 June and amounted to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Pr="00545FB5">
        <w:rPr>
          <w:rFonts w:ascii="inherit" w:eastAsia="Times New Roman" w:hAnsi="inherit" w:cs="Helvetica"/>
          <w:color w:val="505050"/>
          <w:sz w:val="28"/>
          <w:szCs w:val="28"/>
        </w:rPr>
        <w:t>80.6 billion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, </w:t>
      </w:r>
      <w:r>
        <w:rPr>
          <w:rFonts w:ascii="inherit" w:eastAsia="Times New Roman" w:hAnsi="inherit" w:cs="Helvetica"/>
          <w:color w:val="505050"/>
          <w:sz w:val="28"/>
          <w:szCs w:val="28"/>
        </w:rPr>
        <w:t>and they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>
        <w:rPr>
          <w:rFonts w:ascii="inherit" w:eastAsia="Times New Roman" w:hAnsi="inherit" w:cs="Helvetica"/>
          <w:color w:val="505050"/>
          <w:sz w:val="28"/>
          <w:szCs w:val="28"/>
        </w:rPr>
        <w:t>considerably resulted from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>
        <w:rPr>
          <w:rFonts w:ascii="inherit" w:eastAsia="Times New Roman" w:hAnsi="inherit" w:cs="Helvetica"/>
          <w:color w:val="505050"/>
          <w:sz w:val="28"/>
          <w:szCs w:val="28"/>
        </w:rPr>
        <w:t>collection of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excise taxes, which amounted to 25.6 billion. </w:t>
      </w:r>
    </w:p>
    <w:p w:rsidR="009233A4" w:rsidRDefault="006E0E2A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</w:r>
      <w:r w:rsidR="0013539B" w:rsidRPr="00545FB5">
        <w:rPr>
          <w:rFonts w:ascii="inherit" w:eastAsia="Times New Roman" w:hAnsi="inherit" w:cs="Helvetica"/>
          <w:color w:val="505050"/>
          <w:sz w:val="28"/>
          <w:szCs w:val="28"/>
        </w:rPr>
        <w:t>Increased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fuel consumption shows that the method of </w:t>
      </w:r>
      <w:r w:rsidR="00653935">
        <w:rPr>
          <w:rFonts w:ascii="inherit" w:eastAsia="Times New Roman" w:hAnsi="inherit" w:cs="Helvetica"/>
          <w:color w:val="505050"/>
          <w:sz w:val="28"/>
          <w:szCs w:val="28"/>
        </w:rPr>
        <w:t>fuel marking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, which was initiated by the previous Ministry</w:t>
      </w:r>
      <w:r w:rsidR="00905AAF">
        <w:rPr>
          <w:rFonts w:ascii="inherit" w:eastAsia="Times New Roman" w:hAnsi="inherit" w:cs="Helvetica"/>
          <w:color w:val="505050"/>
          <w:sz w:val="28"/>
          <w:szCs w:val="28"/>
        </w:rPr>
        <w:t xml:space="preserve"> of Energy, Development and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Environment</w:t>
      </w:r>
      <w:r w:rsidR="00905AAF">
        <w:rPr>
          <w:rFonts w:ascii="inherit" w:eastAsia="Times New Roman" w:hAnsi="inherit" w:cs="Helvetica"/>
          <w:color w:val="505050"/>
          <w:sz w:val="28"/>
          <w:szCs w:val="28"/>
        </w:rPr>
        <w:t>al Protection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, 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reached its goal </w:t>
      </w:r>
      <w:r>
        <w:rPr>
          <w:rFonts w:ascii="inherit" w:eastAsia="Times New Roman" w:hAnsi="inherit" w:cs="Helvetica"/>
          <w:color w:val="505050"/>
          <w:sz w:val="28"/>
          <w:szCs w:val="28"/>
        </w:rPr>
        <w:t>as early as five months later</w:t>
      </w:r>
      <w:r w:rsidR="009233A4">
        <w:rPr>
          <w:rFonts w:ascii="inherit" w:eastAsia="Times New Roman" w:hAnsi="inherit" w:cs="Helvetica"/>
          <w:color w:val="505050"/>
          <w:sz w:val="28"/>
          <w:szCs w:val="28"/>
        </w:rPr>
        <w:t xml:space="preserve"> and led to more efficient fuel quality control and restriction of illegal fuel market.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 </w:t>
      </w:r>
    </w:p>
    <w:p w:rsidR="00A23BD9" w:rsidRDefault="009233A4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>In spite of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slowdown in economic </w:t>
      </w:r>
      <w:r w:rsidR="0022417C">
        <w:rPr>
          <w:rFonts w:ascii="inherit" w:eastAsia="Times New Roman" w:hAnsi="inherit" w:cs="Helvetica"/>
          <w:color w:val="505050"/>
          <w:sz w:val="28"/>
          <w:szCs w:val="28"/>
        </w:rPr>
        <w:t xml:space="preserve">activities </w:t>
      </w:r>
      <w:r>
        <w:rPr>
          <w:rFonts w:ascii="inherit" w:eastAsia="Times New Roman" w:hAnsi="inherit" w:cs="Helvetica"/>
          <w:color w:val="505050"/>
          <w:sz w:val="28"/>
          <w:szCs w:val="28"/>
        </w:rPr>
        <w:t>and catastrophic floods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 xml:space="preserve"> in Serbia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>in the period from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 February to </w:t>
      </w:r>
      <w:r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June 2014., </w:t>
      </w:r>
      <w:r w:rsidR="006344B6" w:rsidRPr="00545FB5">
        <w:rPr>
          <w:rFonts w:ascii="inherit" w:eastAsia="Times New Roman" w:hAnsi="inherit" w:cs="Helvetica"/>
          <w:color w:val="505050"/>
          <w:sz w:val="28"/>
          <w:szCs w:val="28"/>
        </w:rPr>
        <w:t>recorded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 xml:space="preserve"> growth in sale of </w:t>
      </w:r>
      <w:r w:rsidR="006344B6" w:rsidRPr="00545FB5">
        <w:rPr>
          <w:rFonts w:ascii="inherit" w:eastAsia="Times New Roman" w:hAnsi="inherit" w:cs="Helvetica"/>
          <w:color w:val="505050"/>
          <w:sz w:val="28"/>
          <w:szCs w:val="28"/>
        </w:rPr>
        <w:t>diesel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 xml:space="preserve"> and gasoline was 13.9 and </w:t>
      </w:r>
      <w:r w:rsidR="006344B6" w:rsidRPr="00545FB5">
        <w:rPr>
          <w:rFonts w:ascii="inherit" w:eastAsia="Times New Roman" w:hAnsi="inherit" w:cs="Helvetica"/>
          <w:color w:val="505050"/>
          <w:sz w:val="28"/>
          <w:szCs w:val="28"/>
        </w:rPr>
        <w:t>18 percent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>, respectively.</w:t>
      </w:r>
      <w:r>
        <w:rPr>
          <w:rFonts w:ascii="inherit" w:eastAsia="Times New Roman" w:hAnsi="inherit" w:cs="Helvetica"/>
          <w:color w:val="505050"/>
          <w:sz w:val="28"/>
          <w:szCs w:val="28"/>
        </w:rPr>
        <w:tab/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 xml:space="preserve">Fighting against black market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during 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>the last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five months </w:t>
      </w:r>
      <w:r w:rsidR="006344B6">
        <w:rPr>
          <w:rFonts w:ascii="inherit" w:eastAsia="Times New Roman" w:hAnsi="inherit" w:cs="Helvetica"/>
          <w:color w:val="505050"/>
          <w:sz w:val="28"/>
          <w:szCs w:val="28"/>
        </w:rPr>
        <w:t>has led to four billion RSD more money in the budget than at the same time in 2013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. </w:t>
      </w:r>
    </w:p>
    <w:p w:rsidR="00A23BD9" w:rsidRDefault="006344B6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>If this trend continues, by the end of the year</w:t>
      </w:r>
      <w:r w:rsidR="00753873">
        <w:rPr>
          <w:rFonts w:ascii="inherit" w:eastAsia="Times New Roman" w:hAnsi="inherit" w:cs="Helvetica"/>
          <w:color w:val="505050"/>
          <w:sz w:val="28"/>
          <w:szCs w:val="28"/>
        </w:rPr>
        <w:t xml:space="preserve">, only </w:t>
      </w:r>
      <w:r w:rsidR="00A23BD9">
        <w:rPr>
          <w:rFonts w:ascii="inherit" w:eastAsia="Times New Roman" w:hAnsi="inherit" w:cs="Helvetica"/>
          <w:color w:val="505050"/>
          <w:sz w:val="28"/>
          <w:szCs w:val="28"/>
        </w:rPr>
        <w:t xml:space="preserve">as the result of Fuel Marking, </w:t>
      </w:r>
      <w:r w:rsidR="00753873">
        <w:rPr>
          <w:rFonts w:ascii="inherit" w:eastAsia="Times New Roman" w:hAnsi="inherit" w:cs="Helvetica"/>
          <w:color w:val="505050"/>
          <w:sz w:val="28"/>
          <w:szCs w:val="28"/>
        </w:rPr>
        <w:t>income from excise taxes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could be increased </w:t>
      </w:r>
      <w:r w:rsidR="00753873">
        <w:rPr>
          <w:rFonts w:ascii="inherit" w:eastAsia="Times New Roman" w:hAnsi="inherit" w:cs="Helvetica"/>
          <w:color w:val="505050"/>
          <w:sz w:val="28"/>
          <w:szCs w:val="28"/>
        </w:rPr>
        <w:t>by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around 60 million euros, or 20 million more than the original estimates. </w:t>
      </w:r>
    </w:p>
    <w:p w:rsidR="00545FB5" w:rsidRPr="00545FB5" w:rsidRDefault="00753873" w:rsidP="00545FB5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Helvetica"/>
          <w:color w:val="505050"/>
          <w:sz w:val="28"/>
          <w:szCs w:val="28"/>
        </w:rPr>
      </w:pPr>
      <w:r>
        <w:rPr>
          <w:rFonts w:ascii="inherit" w:eastAsia="Times New Roman" w:hAnsi="inherit" w:cs="Helvetica"/>
          <w:color w:val="505050"/>
          <w:sz w:val="28"/>
          <w:szCs w:val="28"/>
        </w:rPr>
        <w:tab/>
        <w:t xml:space="preserve">Only from </w:t>
      </w:r>
      <w:r w:rsidR="00A23BD9">
        <w:rPr>
          <w:rFonts w:ascii="inherit" w:eastAsia="Times New Roman" w:hAnsi="inherit" w:cs="Helvetica"/>
          <w:color w:val="505050"/>
          <w:sz w:val="28"/>
          <w:szCs w:val="28"/>
        </w:rPr>
        <w:t>introduction of Fuel Marking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and the sale of liquefied petroleum gas, which is expected 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to begin on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September 1, </w:t>
      </w:r>
      <w:r>
        <w:rPr>
          <w:rFonts w:ascii="inherit" w:eastAsia="Times New Roman" w:hAnsi="inherit" w:cs="Helvetica"/>
          <w:color w:val="505050"/>
          <w:sz w:val="28"/>
          <w:szCs w:val="28"/>
        </w:rPr>
        <w:t xml:space="preserve">the state annual income would be 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up to 100 million </w:t>
      </w:r>
      <w:r>
        <w:rPr>
          <w:rFonts w:ascii="inherit" w:eastAsia="Times New Roman" w:hAnsi="inherit" w:cs="Helvetica"/>
          <w:color w:val="505050"/>
          <w:sz w:val="28"/>
          <w:szCs w:val="28"/>
        </w:rPr>
        <w:t>EUR higher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than </w:t>
      </w:r>
      <w:r>
        <w:rPr>
          <w:rFonts w:ascii="inherit" w:eastAsia="Times New Roman" w:hAnsi="inherit" w:cs="Helvetica"/>
          <w:color w:val="505050"/>
          <w:sz w:val="28"/>
          <w:szCs w:val="28"/>
        </w:rPr>
        <w:t>from trade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t xml:space="preserve"> of petroleum products.</w:t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br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br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lastRenderedPageBreak/>
        <w:br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br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br/>
      </w:r>
      <w:r w:rsidR="00545FB5" w:rsidRPr="00545FB5">
        <w:rPr>
          <w:rFonts w:ascii="inherit" w:eastAsia="Times New Roman" w:hAnsi="inherit" w:cs="Helvetica"/>
          <w:color w:val="505050"/>
          <w:sz w:val="28"/>
          <w:szCs w:val="28"/>
        </w:rPr>
        <w:br/>
      </w:r>
    </w:p>
    <w:p w:rsidR="00545FB5" w:rsidRPr="00545FB5" w:rsidRDefault="00545FB5" w:rsidP="00545FB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  <w:r w:rsidRPr="00545FB5">
        <w:rPr>
          <w:rFonts w:ascii="inherit" w:eastAsia="Times New Roman" w:hAnsi="inherit" w:cs="Helvetica"/>
          <w:color w:val="505050"/>
          <w:sz w:val="21"/>
          <w:szCs w:val="21"/>
        </w:rPr>
        <w:t> </w:t>
      </w:r>
    </w:p>
    <w:p w:rsidR="00545FB5" w:rsidRPr="00545FB5" w:rsidRDefault="00545FB5" w:rsidP="00545FB5">
      <w:pPr>
        <w:shd w:val="clear" w:color="auto" w:fill="FFFFFF"/>
        <w:spacing w:line="270" w:lineRule="atLeast"/>
        <w:jc w:val="right"/>
        <w:textAlignment w:val="baseline"/>
        <w:rPr>
          <w:rFonts w:ascii="inherit" w:eastAsia="Times New Roman" w:hAnsi="inherit" w:cs="Helvetica"/>
          <w:color w:val="505050"/>
          <w:sz w:val="21"/>
          <w:szCs w:val="21"/>
        </w:rPr>
      </w:pPr>
      <w:r w:rsidRPr="00545FB5">
        <w:rPr>
          <w:rFonts w:ascii="inherit" w:eastAsia="Times New Roman" w:hAnsi="inherit" w:cs="Helvetica"/>
          <w:color w:val="505050"/>
          <w:sz w:val="21"/>
          <w:szCs w:val="21"/>
        </w:rPr>
        <w:t>Deputy Prime Minister</w:t>
      </w:r>
    </w:p>
    <w:p w:rsidR="002A1729" w:rsidRDefault="002A1729"/>
    <w:sectPr w:rsidR="002A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5"/>
    <w:rsid w:val="00013DB9"/>
    <w:rsid w:val="00022921"/>
    <w:rsid w:val="00026E0C"/>
    <w:rsid w:val="0002707E"/>
    <w:rsid w:val="00037101"/>
    <w:rsid w:val="000372FC"/>
    <w:rsid w:val="00040454"/>
    <w:rsid w:val="00040DE1"/>
    <w:rsid w:val="00046C07"/>
    <w:rsid w:val="00061EAF"/>
    <w:rsid w:val="000A58D2"/>
    <w:rsid w:val="000C039F"/>
    <w:rsid w:val="000C6A84"/>
    <w:rsid w:val="000D442C"/>
    <w:rsid w:val="000E700B"/>
    <w:rsid w:val="000F18B2"/>
    <w:rsid w:val="000F18CA"/>
    <w:rsid w:val="00106BB4"/>
    <w:rsid w:val="001251F8"/>
    <w:rsid w:val="0013539B"/>
    <w:rsid w:val="00144E47"/>
    <w:rsid w:val="00151430"/>
    <w:rsid w:val="00155FE8"/>
    <w:rsid w:val="00184E22"/>
    <w:rsid w:val="001A4D33"/>
    <w:rsid w:val="001C2F71"/>
    <w:rsid w:val="001C7E21"/>
    <w:rsid w:val="001E6479"/>
    <w:rsid w:val="002161C9"/>
    <w:rsid w:val="0022417C"/>
    <w:rsid w:val="00232A8C"/>
    <w:rsid w:val="002351FE"/>
    <w:rsid w:val="002411B8"/>
    <w:rsid w:val="002752B2"/>
    <w:rsid w:val="00275850"/>
    <w:rsid w:val="00283CA2"/>
    <w:rsid w:val="00285CF0"/>
    <w:rsid w:val="002955D7"/>
    <w:rsid w:val="002A0F10"/>
    <w:rsid w:val="002A1729"/>
    <w:rsid w:val="002B2BA6"/>
    <w:rsid w:val="002C3CE9"/>
    <w:rsid w:val="002D0C96"/>
    <w:rsid w:val="002D2730"/>
    <w:rsid w:val="002D3079"/>
    <w:rsid w:val="002F3DA1"/>
    <w:rsid w:val="00302AE2"/>
    <w:rsid w:val="0030339B"/>
    <w:rsid w:val="003218F2"/>
    <w:rsid w:val="00335344"/>
    <w:rsid w:val="003601C0"/>
    <w:rsid w:val="00363345"/>
    <w:rsid w:val="003B054B"/>
    <w:rsid w:val="003B0E84"/>
    <w:rsid w:val="003B3D97"/>
    <w:rsid w:val="003B4A02"/>
    <w:rsid w:val="00400858"/>
    <w:rsid w:val="00405F75"/>
    <w:rsid w:val="00416AE6"/>
    <w:rsid w:val="00417798"/>
    <w:rsid w:val="00435D7C"/>
    <w:rsid w:val="00437819"/>
    <w:rsid w:val="004553C1"/>
    <w:rsid w:val="00473E60"/>
    <w:rsid w:val="0049740A"/>
    <w:rsid w:val="00497A0C"/>
    <w:rsid w:val="004A1DBF"/>
    <w:rsid w:val="004C42A3"/>
    <w:rsid w:val="004D44C7"/>
    <w:rsid w:val="004D7AC1"/>
    <w:rsid w:val="004E0D1D"/>
    <w:rsid w:val="004E539A"/>
    <w:rsid w:val="004E5422"/>
    <w:rsid w:val="004F3E4B"/>
    <w:rsid w:val="00517E2B"/>
    <w:rsid w:val="00524722"/>
    <w:rsid w:val="005420F5"/>
    <w:rsid w:val="00545FB5"/>
    <w:rsid w:val="005504D0"/>
    <w:rsid w:val="00555E92"/>
    <w:rsid w:val="00556866"/>
    <w:rsid w:val="00561BBF"/>
    <w:rsid w:val="00563918"/>
    <w:rsid w:val="00564ECF"/>
    <w:rsid w:val="00571576"/>
    <w:rsid w:val="00574932"/>
    <w:rsid w:val="00576F85"/>
    <w:rsid w:val="005842B2"/>
    <w:rsid w:val="00593100"/>
    <w:rsid w:val="005951FE"/>
    <w:rsid w:val="005C7808"/>
    <w:rsid w:val="005D0568"/>
    <w:rsid w:val="005D0E44"/>
    <w:rsid w:val="005E5A4F"/>
    <w:rsid w:val="005E5BFE"/>
    <w:rsid w:val="005F4651"/>
    <w:rsid w:val="00610108"/>
    <w:rsid w:val="006165A8"/>
    <w:rsid w:val="0063017A"/>
    <w:rsid w:val="00632821"/>
    <w:rsid w:val="006344B6"/>
    <w:rsid w:val="00653935"/>
    <w:rsid w:val="00660266"/>
    <w:rsid w:val="00675045"/>
    <w:rsid w:val="00681C3A"/>
    <w:rsid w:val="006C2D75"/>
    <w:rsid w:val="006C6D6E"/>
    <w:rsid w:val="006E0E2A"/>
    <w:rsid w:val="006E18C6"/>
    <w:rsid w:val="006E23A3"/>
    <w:rsid w:val="006E62EE"/>
    <w:rsid w:val="006F74D1"/>
    <w:rsid w:val="00710453"/>
    <w:rsid w:val="007267FE"/>
    <w:rsid w:val="0073498D"/>
    <w:rsid w:val="0074225C"/>
    <w:rsid w:val="00750FF5"/>
    <w:rsid w:val="00753873"/>
    <w:rsid w:val="00776A0E"/>
    <w:rsid w:val="00781FB6"/>
    <w:rsid w:val="0078404D"/>
    <w:rsid w:val="007A0BEB"/>
    <w:rsid w:val="007A3806"/>
    <w:rsid w:val="007A47B1"/>
    <w:rsid w:val="007D601D"/>
    <w:rsid w:val="007E1FBA"/>
    <w:rsid w:val="00801D26"/>
    <w:rsid w:val="008129FB"/>
    <w:rsid w:val="0084688C"/>
    <w:rsid w:val="0085119F"/>
    <w:rsid w:val="00857819"/>
    <w:rsid w:val="008735B1"/>
    <w:rsid w:val="00881994"/>
    <w:rsid w:val="008A467A"/>
    <w:rsid w:val="008D152D"/>
    <w:rsid w:val="00905AAF"/>
    <w:rsid w:val="009233A4"/>
    <w:rsid w:val="00955BEB"/>
    <w:rsid w:val="009629B1"/>
    <w:rsid w:val="00965764"/>
    <w:rsid w:val="0097629E"/>
    <w:rsid w:val="009A63A8"/>
    <w:rsid w:val="009B3CD0"/>
    <w:rsid w:val="009C0E25"/>
    <w:rsid w:val="009C184A"/>
    <w:rsid w:val="009D5E7A"/>
    <w:rsid w:val="009D6E08"/>
    <w:rsid w:val="009E186F"/>
    <w:rsid w:val="009F425B"/>
    <w:rsid w:val="009F6171"/>
    <w:rsid w:val="00A0440B"/>
    <w:rsid w:val="00A148ED"/>
    <w:rsid w:val="00A23BD9"/>
    <w:rsid w:val="00A31406"/>
    <w:rsid w:val="00A46666"/>
    <w:rsid w:val="00A512B7"/>
    <w:rsid w:val="00A56801"/>
    <w:rsid w:val="00A734BB"/>
    <w:rsid w:val="00A94A0E"/>
    <w:rsid w:val="00AA70FD"/>
    <w:rsid w:val="00AA7BCB"/>
    <w:rsid w:val="00AC635E"/>
    <w:rsid w:val="00AE6727"/>
    <w:rsid w:val="00B05926"/>
    <w:rsid w:val="00B0629A"/>
    <w:rsid w:val="00B14E76"/>
    <w:rsid w:val="00B15E54"/>
    <w:rsid w:val="00B205FC"/>
    <w:rsid w:val="00B67BB1"/>
    <w:rsid w:val="00B80204"/>
    <w:rsid w:val="00B96926"/>
    <w:rsid w:val="00BA1DA9"/>
    <w:rsid w:val="00BA6701"/>
    <w:rsid w:val="00BB3244"/>
    <w:rsid w:val="00BD46BF"/>
    <w:rsid w:val="00BD5171"/>
    <w:rsid w:val="00BE244F"/>
    <w:rsid w:val="00BE5315"/>
    <w:rsid w:val="00C023F9"/>
    <w:rsid w:val="00C069C2"/>
    <w:rsid w:val="00C1594C"/>
    <w:rsid w:val="00C3353A"/>
    <w:rsid w:val="00C33C3A"/>
    <w:rsid w:val="00C51554"/>
    <w:rsid w:val="00C568A2"/>
    <w:rsid w:val="00C601F7"/>
    <w:rsid w:val="00C62BE0"/>
    <w:rsid w:val="00C73ADC"/>
    <w:rsid w:val="00C93DE9"/>
    <w:rsid w:val="00CD25A2"/>
    <w:rsid w:val="00CD2FE1"/>
    <w:rsid w:val="00CE01D3"/>
    <w:rsid w:val="00CE04D0"/>
    <w:rsid w:val="00CE1774"/>
    <w:rsid w:val="00CE2E5A"/>
    <w:rsid w:val="00CF5F6D"/>
    <w:rsid w:val="00D04435"/>
    <w:rsid w:val="00D137A2"/>
    <w:rsid w:val="00D1528F"/>
    <w:rsid w:val="00D23D3B"/>
    <w:rsid w:val="00D5655D"/>
    <w:rsid w:val="00D574C9"/>
    <w:rsid w:val="00D67ECF"/>
    <w:rsid w:val="00D74B7B"/>
    <w:rsid w:val="00D90BB6"/>
    <w:rsid w:val="00DA0C06"/>
    <w:rsid w:val="00DC15FF"/>
    <w:rsid w:val="00DC7320"/>
    <w:rsid w:val="00DD5054"/>
    <w:rsid w:val="00DE00BB"/>
    <w:rsid w:val="00DE27AD"/>
    <w:rsid w:val="00DE293D"/>
    <w:rsid w:val="00DE5EFB"/>
    <w:rsid w:val="00E063F4"/>
    <w:rsid w:val="00E147DA"/>
    <w:rsid w:val="00E1510B"/>
    <w:rsid w:val="00E15950"/>
    <w:rsid w:val="00E271CC"/>
    <w:rsid w:val="00E64546"/>
    <w:rsid w:val="00E66D5A"/>
    <w:rsid w:val="00E66DC5"/>
    <w:rsid w:val="00E76DB6"/>
    <w:rsid w:val="00E90BCF"/>
    <w:rsid w:val="00EA2697"/>
    <w:rsid w:val="00ED1D2E"/>
    <w:rsid w:val="00F14CCF"/>
    <w:rsid w:val="00F33783"/>
    <w:rsid w:val="00F344B3"/>
    <w:rsid w:val="00F35265"/>
    <w:rsid w:val="00F3606C"/>
    <w:rsid w:val="00F37874"/>
    <w:rsid w:val="00F52A81"/>
    <w:rsid w:val="00F65526"/>
    <w:rsid w:val="00F8123E"/>
    <w:rsid w:val="00F8680A"/>
    <w:rsid w:val="00FB46C9"/>
    <w:rsid w:val="00FC7A9F"/>
    <w:rsid w:val="00FD44DC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93337-8988-4DF0-AFDF-1E0D731B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94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3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09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6003">
          <w:marLeft w:val="0"/>
          <w:marRight w:val="0"/>
          <w:marTop w:val="0"/>
          <w:marBottom w:val="0"/>
          <w:divBdr>
            <w:top w:val="single" w:sz="12" w:space="19" w:color="315D8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Dajana</cp:lastModifiedBy>
  <cp:revision>2</cp:revision>
  <dcterms:created xsi:type="dcterms:W3CDTF">2014-07-28T12:53:00Z</dcterms:created>
  <dcterms:modified xsi:type="dcterms:W3CDTF">2014-07-28T12:53:00Z</dcterms:modified>
</cp:coreProperties>
</file>